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C" w:rsidRPr="0056015C" w:rsidRDefault="0056015C" w:rsidP="0056015C">
      <w:pPr>
        <w:shd w:val="clear" w:color="auto" w:fill="FFFFFF"/>
        <w:spacing w:after="169" w:line="493" w:lineRule="atLeast"/>
        <w:textAlignment w:val="baseline"/>
        <w:outlineLvl w:val="1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Показания к проведению процедуры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биорепарации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, техника выполнения и уход за кожей</w:t>
      </w:r>
    </w:p>
    <w:p w:rsidR="0056015C" w:rsidRPr="0056015C" w:rsidRDefault="0056015C" w:rsidP="0056015C">
      <w:pPr>
        <w:shd w:val="clear" w:color="auto" w:fill="FFFFFF"/>
        <w:spacing w:after="169" w:line="342" w:lineRule="atLeast"/>
        <w:textAlignment w:val="baseline"/>
        <w:outlineLvl w:val="2"/>
        <w:rPr>
          <w:rFonts w:ascii="Lobster" w:eastAsia="Times New Roman" w:hAnsi="Lobster" w:cs="Times New Roman"/>
          <w:b/>
          <w:bCs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b/>
          <w:bCs/>
          <w:color w:val="663300"/>
          <w:sz w:val="28"/>
          <w:szCs w:val="28"/>
        </w:rPr>
        <w:t>Перечень показаний: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Сухая кожа, повышенная ее чувствительность.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Птоз – опущение того или иного участка лица.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Фотостарение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: наличие сухости и гиперпигментации,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купероз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Хроностарение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: мимические морщины, снижение тонуса и эластичности.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Угревая сыпь.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Рубцы и шрамы.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Процесс реабилитации кожи после агрессивных методик омоложения (использование лазера, ожоги после различных процедур).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Дряблость кожных покровов кистей рук.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Наличие целлюлита.</w:t>
      </w:r>
    </w:p>
    <w:p w:rsidR="0056015C" w:rsidRPr="0056015C" w:rsidRDefault="0056015C" w:rsidP="0056015C">
      <w:pPr>
        <w:numPr>
          <w:ilvl w:val="0"/>
          <w:numId w:val="1"/>
        </w:numPr>
        <w:shd w:val="clear" w:color="auto" w:fill="FFFFFF"/>
        <w:spacing w:after="0" w:line="356" w:lineRule="atLeast"/>
        <w:ind w:left="508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Растяжки после резкой потери массы.</w:t>
      </w:r>
    </w:p>
    <w:p w:rsidR="0056015C" w:rsidRDefault="0056015C" w:rsidP="0056015C">
      <w:pPr>
        <w:shd w:val="clear" w:color="auto" w:fill="FFFFFF"/>
        <w:spacing w:after="169" w:line="342" w:lineRule="atLeast"/>
        <w:textAlignment w:val="baseline"/>
        <w:outlineLvl w:val="2"/>
        <w:rPr>
          <w:rFonts w:ascii="Lobster" w:eastAsia="Times New Roman" w:hAnsi="Lobster" w:cs="Times New Roman"/>
          <w:b/>
          <w:bCs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b/>
          <w:bCs/>
          <w:color w:val="663300"/>
          <w:sz w:val="28"/>
          <w:szCs w:val="28"/>
        </w:rPr>
        <w:t>Этапы проведения</w:t>
      </w:r>
    </w:p>
    <w:p w:rsidR="0056015C" w:rsidRPr="0056015C" w:rsidRDefault="0056015C" w:rsidP="0056015C">
      <w:pPr>
        <w:shd w:val="clear" w:color="auto" w:fill="FFFFFF"/>
        <w:spacing w:after="169" w:line="342" w:lineRule="atLeast"/>
        <w:textAlignment w:val="baseline"/>
        <w:outlineLvl w:val="2"/>
        <w:rPr>
          <w:rFonts w:ascii="Lobster" w:eastAsia="Times New Roman" w:hAnsi="Lobster" w:cs="Times New Roman"/>
          <w:b/>
          <w:bCs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1. Как уже было сказано выше,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биорепарация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кожи – это введение определенного препарата в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дермальный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слой с помощью инъекций. Инъекции ощущаются каждым человеком по-разному: для одного – это всего лишь неприятная манипуляция, для другого – достаточно болезненная. Чтобы сделать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биорепарацию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максимально комфортной, перед ее началом на проблемный участок наносится анестезирующий крем или гель. Анестетиком намазывают обрабатываемый участок не менее 3 раз, выдерживают экспозицию в 25 мин. </w:t>
      </w:r>
    </w:p>
    <w:p w:rsidR="0056015C" w:rsidRPr="0056015C" w:rsidRDefault="0056015C" w:rsidP="0056015C">
      <w:pPr>
        <w:shd w:val="clear" w:color="auto" w:fill="FFFFFF"/>
        <w:spacing w:before="169" w:after="339" w:line="356" w:lineRule="atLeast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2. Когда кожа потеряла чувствительность, ее дезинфицируют 0,5% раствором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хлоргексидина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и начинают введение препарата. Лицо, шея, декольте обрабатываются по технологии «папула». Игла вводится в ткани срезом вверх и под минимальным углом, препарат вводят до тех пор, пока не образуется папула размером 1-2 мм (в области глаз – не больше 1 мм).</w:t>
      </w:r>
    </w:p>
    <w:p w:rsidR="0056015C" w:rsidRPr="0056015C" w:rsidRDefault="0056015C" w:rsidP="0056015C">
      <w:pPr>
        <w:shd w:val="clear" w:color="auto" w:fill="FFFFFF"/>
        <w:spacing w:before="169" w:after="339" w:line="356" w:lineRule="atLeast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Если проводится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биорепарация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лица, то инъекции делают по массажным линиям на расстоянии 1 см. Шею обрабатывают параллельно по дугообразным линиям, расстояние между проколами – 1,5 см. Зона декольте обкалывается по V-образным линиям с «шагом» в 2 см.</w:t>
      </w:r>
    </w:p>
    <w:p w:rsidR="0056015C" w:rsidRPr="0056015C" w:rsidRDefault="0056015C" w:rsidP="0056015C">
      <w:pPr>
        <w:shd w:val="clear" w:color="auto" w:fill="FFFFFF"/>
        <w:spacing w:before="169" w:after="339" w:line="356" w:lineRule="atLeast"/>
        <w:textAlignment w:val="baseline"/>
        <w:rPr>
          <w:rFonts w:ascii="Lobster" w:eastAsia="Times New Roman" w:hAnsi="Lobster" w:cs="Times New Roman"/>
          <w:color w:val="663300"/>
          <w:sz w:val="28"/>
          <w:szCs w:val="28"/>
        </w:rPr>
      </w:pPr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Для достижения максимального эффекта от </w:t>
      </w:r>
      <w:proofErr w:type="spellStart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>биорепарации</w:t>
      </w:r>
      <w:proofErr w:type="spellEnd"/>
      <w:r w:rsidRPr="0056015C">
        <w:rPr>
          <w:rFonts w:ascii="Lobster" w:eastAsia="Times New Roman" w:hAnsi="Lobster" w:cs="Times New Roman"/>
          <w:color w:val="663300"/>
          <w:sz w:val="28"/>
          <w:szCs w:val="28"/>
        </w:rPr>
        <w:t xml:space="preserve"> необходимо пройти курс, состоящий из 3 сеансов (1 сеанс в 3 недели). Также рекомендуют проводить поддерживающую процедуру – 1 раз в два месяца</w:t>
      </w:r>
    </w:p>
    <w:p w:rsidR="00384F5A" w:rsidRPr="0056015C" w:rsidRDefault="00384F5A">
      <w:pPr>
        <w:rPr>
          <w:rFonts w:ascii="Lobster" w:hAnsi="Lobster"/>
          <w:color w:val="663300"/>
          <w:sz w:val="28"/>
          <w:szCs w:val="28"/>
        </w:rPr>
      </w:pPr>
    </w:p>
    <w:sectPr w:rsidR="00384F5A" w:rsidRPr="0056015C" w:rsidSect="00560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6D9"/>
    <w:multiLevelType w:val="multilevel"/>
    <w:tmpl w:val="604A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6015C"/>
    <w:rsid w:val="00384F5A"/>
    <w:rsid w:val="0056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01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Чистая кожа</dc:creator>
  <cp:keywords/>
  <dc:description/>
  <cp:lastModifiedBy>Чистая кожа</cp:lastModifiedBy>
  <cp:revision>2</cp:revision>
  <dcterms:created xsi:type="dcterms:W3CDTF">2016-05-13T09:49:00Z</dcterms:created>
  <dcterms:modified xsi:type="dcterms:W3CDTF">2016-05-13T09:51:00Z</dcterms:modified>
</cp:coreProperties>
</file>